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85" w:rsidRDefault="002750A8">
      <w:pPr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附件：</w:t>
      </w:r>
      <w:bookmarkStart w:id="0" w:name="_GoBack"/>
      <w:bookmarkEnd w:id="0"/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东北电力大学硕士研究生指导教师资格申请业绩表</w:t>
      </w:r>
    </w:p>
    <w:tbl>
      <w:tblPr>
        <w:tblW w:w="13396" w:type="dxa"/>
        <w:jc w:val="center"/>
        <w:tblLook w:val="04A0"/>
      </w:tblPr>
      <w:tblGrid>
        <w:gridCol w:w="780"/>
        <w:gridCol w:w="765"/>
        <w:gridCol w:w="900"/>
        <w:gridCol w:w="915"/>
        <w:gridCol w:w="915"/>
        <w:gridCol w:w="1875"/>
        <w:gridCol w:w="1335"/>
        <w:gridCol w:w="630"/>
        <w:gridCol w:w="675"/>
        <w:gridCol w:w="1050"/>
        <w:gridCol w:w="1050"/>
        <w:gridCol w:w="600"/>
        <w:gridCol w:w="645"/>
        <w:gridCol w:w="1261"/>
      </w:tblGrid>
      <w:tr w:rsidR="00761F85">
        <w:trPr>
          <w:trHeight w:val="499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高重阳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出生年月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1990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毕业学校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西安交通大学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所获学位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工学博士</w:t>
            </w:r>
          </w:p>
        </w:tc>
      </w:tr>
      <w:tr w:rsidR="00761F85">
        <w:trPr>
          <w:trHeight w:val="499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学科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岩土工程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研究方向</w:t>
            </w:r>
          </w:p>
        </w:tc>
        <w:tc>
          <w:tcPr>
            <w:tcW w:w="5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特殊土力学及其工程灾害机理与防控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联系电话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15009260365</w:t>
            </w:r>
          </w:p>
        </w:tc>
      </w:tr>
      <w:tr w:rsidR="00761F85">
        <w:trPr>
          <w:trHeight w:val="499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发表文章、论著、专利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文章、论著、专利名称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级别或类别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作者排序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发表刊物或授予单位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绩点类别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绩点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认证</w:t>
            </w:r>
          </w:p>
        </w:tc>
      </w:tr>
      <w:tr w:rsidR="00761F85">
        <w:trPr>
          <w:trHeight w:val="765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761F85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Interaction between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Vetiver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Grass Roots and Completely Decomposed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Volcanic Tuff under Rainfall Infiltration Conditions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SCI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导师第一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Geofluids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40</w:t>
            </w:r>
          </w:p>
        </w:tc>
      </w:tr>
      <w:tr w:rsidR="00761F85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761F85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Anisotropic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behaviour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of 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a saturated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clayey loess.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SCI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导师第一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Géotechnique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Letters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40</w:t>
            </w:r>
          </w:p>
        </w:tc>
      </w:tr>
      <w:tr w:rsidR="00761F85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761F85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The influence of grading on the compressibility of saturated loess soils.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SCI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导师第一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Géotechnique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Letters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40</w:t>
            </w:r>
          </w:p>
        </w:tc>
      </w:tr>
      <w:tr w:rsidR="00761F85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761F85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An investigation of particle breakage in loess.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SCI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本人第一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Engineering Geology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140</w:t>
            </w:r>
          </w:p>
        </w:tc>
      </w:tr>
      <w:tr w:rsidR="00761F85">
        <w:trPr>
          <w:trHeight w:val="615"/>
          <w:jc w:val="center"/>
        </w:trPr>
        <w:tc>
          <w:tcPr>
            <w:tcW w:w="13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合计：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260</w:t>
            </w:r>
            <w:r>
              <w:rPr>
                <w:rStyle w:val="font11"/>
                <w:rFonts w:ascii="Times New Roman" w:hAnsi="Times New Roman" w:cs="Times New Roman" w:hint="default"/>
                <w:lang/>
              </w:rPr>
              <w:t xml:space="preserve"> </w:t>
            </w:r>
            <w:r>
              <w:rPr>
                <w:rStyle w:val="font11"/>
                <w:rFonts w:ascii="Times New Roman" w:hAnsi="Times New Roman" w:cs="Times New Roman" w:hint="default"/>
                <w:lang/>
              </w:rPr>
              <w:t>绩点，其中</w:t>
            </w:r>
            <w:r>
              <w:rPr>
                <w:rStyle w:val="font11"/>
                <w:rFonts w:ascii="Times New Roman" w:hAnsi="Times New Roman" w:cs="Times New Roman" w:hint="default"/>
                <w:lang/>
              </w:rPr>
              <w:t>T</w:t>
            </w:r>
            <w:r>
              <w:rPr>
                <w:rStyle w:val="font11"/>
                <w:rFonts w:ascii="Times New Roman" w:hAnsi="Times New Roman" w:cs="Times New Roman" w:hint="default"/>
                <w:lang/>
              </w:rPr>
              <w:t>类</w:t>
            </w:r>
            <w:r>
              <w:rPr>
                <w:rStyle w:val="font11"/>
                <w:rFonts w:ascii="Times New Roman" w:hAnsi="Times New Roman" w:cs="Times New Roman" w:hint="default"/>
                <w:lang/>
              </w:rPr>
              <w:t xml:space="preserve"> 140</w:t>
            </w:r>
            <w:r>
              <w:rPr>
                <w:rStyle w:val="font11"/>
                <w:rFonts w:ascii="Times New Roman" w:hAnsi="Times New Roman" w:cs="Times New Roman" w:hint="default"/>
                <w:lang/>
              </w:rPr>
              <w:t>绩点；</w:t>
            </w:r>
            <w:r>
              <w:rPr>
                <w:rStyle w:val="font11"/>
                <w:rFonts w:ascii="Times New Roman" w:hAnsi="Times New Roman" w:cs="Times New Roman" w:hint="default"/>
                <w:lang/>
              </w:rPr>
              <w:t>A</w:t>
            </w:r>
            <w:r>
              <w:rPr>
                <w:rStyle w:val="font11"/>
                <w:rFonts w:ascii="Times New Roman" w:hAnsi="Times New Roman" w:cs="Times New Roman" w:hint="default"/>
                <w:lang/>
              </w:rPr>
              <w:t>类</w:t>
            </w:r>
            <w:r>
              <w:rPr>
                <w:rStyle w:val="font11"/>
                <w:rFonts w:ascii="Times New Roman" w:hAnsi="Times New Roman" w:cs="Times New Roman" w:hint="default"/>
                <w:lang/>
              </w:rPr>
              <w:t xml:space="preserve"> 120 </w:t>
            </w:r>
            <w:r>
              <w:rPr>
                <w:rStyle w:val="font11"/>
                <w:rFonts w:ascii="Times New Roman" w:hAnsi="Times New Roman" w:cs="Times New Roman" w:hint="default"/>
                <w:lang/>
              </w:rPr>
              <w:t>绩点；</w:t>
            </w:r>
            <w:r>
              <w:rPr>
                <w:rStyle w:val="font11"/>
                <w:rFonts w:ascii="Times New Roman" w:hAnsi="Times New Roman" w:cs="Times New Roman" w:hint="default"/>
                <w:lang/>
              </w:rPr>
              <w:t>B</w:t>
            </w:r>
            <w:r>
              <w:rPr>
                <w:rStyle w:val="font11"/>
                <w:rFonts w:ascii="Times New Roman" w:hAnsi="Times New Roman" w:cs="Times New Roman" w:hint="default"/>
                <w:lang/>
              </w:rPr>
              <w:t>类</w:t>
            </w:r>
            <w:r>
              <w:rPr>
                <w:rStyle w:val="font11"/>
                <w:rFonts w:ascii="Times New Roman" w:hAnsi="Times New Roman" w:cs="Times New Roman" w:hint="default"/>
                <w:lang/>
              </w:rPr>
              <w:t xml:space="preserve"> 0 </w:t>
            </w:r>
            <w:proofErr w:type="gramStart"/>
            <w:r>
              <w:rPr>
                <w:rStyle w:val="font11"/>
                <w:rFonts w:ascii="Times New Roman" w:hAnsi="Times New Roman" w:cs="Times New Roman" w:hint="default"/>
                <w:lang/>
              </w:rPr>
              <w:t>绩点</w:t>
            </w:r>
            <w:proofErr w:type="gramEnd"/>
          </w:p>
        </w:tc>
      </w:tr>
    </w:tbl>
    <w:p w:rsidR="00761F85" w:rsidRDefault="00761F85">
      <w:pPr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</w:p>
    <w:p w:rsidR="00761F85" w:rsidRDefault="002750A8">
      <w:pPr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br w:type="page"/>
      </w:r>
    </w:p>
    <w:tbl>
      <w:tblPr>
        <w:tblW w:w="13601" w:type="dxa"/>
        <w:jc w:val="center"/>
        <w:tblLook w:val="04A0"/>
      </w:tblPr>
      <w:tblGrid>
        <w:gridCol w:w="780"/>
        <w:gridCol w:w="765"/>
        <w:gridCol w:w="900"/>
        <w:gridCol w:w="915"/>
        <w:gridCol w:w="915"/>
        <w:gridCol w:w="2180"/>
        <w:gridCol w:w="1336"/>
        <w:gridCol w:w="1064"/>
        <w:gridCol w:w="70"/>
        <w:gridCol w:w="1050"/>
        <w:gridCol w:w="953"/>
        <w:gridCol w:w="1063"/>
        <w:gridCol w:w="737"/>
        <w:gridCol w:w="873"/>
      </w:tblGrid>
      <w:tr w:rsidR="00761F85">
        <w:trPr>
          <w:trHeight w:val="499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姓名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雷明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出生年月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1989.9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毕业学校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四川大学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所获学位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博士</w:t>
            </w:r>
          </w:p>
        </w:tc>
      </w:tr>
      <w:tr w:rsidR="00761F85">
        <w:trPr>
          <w:trHeight w:val="499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学科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土木工程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研究方向</w:t>
            </w:r>
          </w:p>
        </w:tc>
        <w:tc>
          <w:tcPr>
            <w:tcW w:w="5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防灾减灾工程及防护工程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联系电话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18645665728</w:t>
            </w:r>
          </w:p>
        </w:tc>
      </w:tr>
      <w:tr w:rsidR="00761F85">
        <w:trPr>
          <w:trHeight w:val="467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发表文章、论著、专利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文章、论著、专利名称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级别或类别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作者排序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发表刊物或授予单位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绩点类别</w:t>
            </w:r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绩点</w:t>
            </w:r>
            <w:proofErr w:type="gram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认证</w:t>
            </w:r>
          </w:p>
        </w:tc>
      </w:tr>
      <w:tr w:rsidR="00761F85">
        <w:trPr>
          <w:trHeight w:val="765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761F85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F85" w:rsidRDefault="002750A8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Dynamic of loose granular flow and its subsequent deposition in a narrow  mountainous river Dynamic of loose granular flow and its subsequent deposition in a narrow  mountainous river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SCI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Journal of Mountain Science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60</w:t>
            </w:r>
          </w:p>
        </w:tc>
      </w:tr>
      <w:tr w:rsidR="00761F85">
        <w:trPr>
          <w:trHeight w:val="825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761F85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F85" w:rsidRDefault="002750A8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Dynamical mechanism of three-dimensional mixed-size grain/bed collision on non-flat bed using discrete element method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SCI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四区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Arabian Journal of Geosciences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30</w:t>
            </w:r>
          </w:p>
        </w:tc>
      </w:tr>
      <w:tr w:rsidR="00761F85">
        <w:trPr>
          <w:trHeight w:val="735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761F85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Numerical analyses of the influence of baffles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on the dynamics of debris  flow in a gully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SCI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四区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Arabian Journal of Geosciences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30</w:t>
            </w:r>
          </w:p>
        </w:tc>
      </w:tr>
      <w:tr w:rsidR="00761F85">
        <w:trPr>
          <w:trHeight w:val="615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761F85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山区变比降河道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卵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砾石溯源淤积的数值模拟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EI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工程科学与技术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20</w:t>
            </w:r>
          </w:p>
        </w:tc>
      </w:tr>
      <w:tr w:rsidR="00761F85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761F85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地震荷载作用下松散体变形过程及堆积形态的数值模拟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EI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工程科学与技术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20</w:t>
            </w:r>
          </w:p>
        </w:tc>
      </w:tr>
      <w:tr w:rsidR="00761F85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761F85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基于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CFD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DEM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耦合方法的河床变形数值模拟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中文核心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泥沙研究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4</w:t>
            </w:r>
          </w:p>
        </w:tc>
      </w:tr>
      <w:tr w:rsidR="00761F85">
        <w:trPr>
          <w:trHeight w:val="6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761F85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利用边滩漂石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调沙的支流强来沙条件下干支交汇淤积段高水位致灾防治方法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发明专利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除导师外第一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国家知识产权局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0</w:t>
            </w:r>
          </w:p>
        </w:tc>
      </w:tr>
      <w:tr w:rsidR="00761F85">
        <w:trPr>
          <w:trHeight w:val="615"/>
          <w:jc w:val="center"/>
        </w:trPr>
        <w:tc>
          <w:tcPr>
            <w:tcW w:w="136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合计：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 xml:space="preserve"> 164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绩点，其中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 xml:space="preserve"> 0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绩点；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 xml:space="preserve">  160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绩点；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 xml:space="preserve">  4 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绩点</w:t>
            </w:r>
            <w:proofErr w:type="gramEnd"/>
          </w:p>
        </w:tc>
      </w:tr>
    </w:tbl>
    <w:p w:rsidR="00761F85" w:rsidRDefault="002750A8">
      <w:pPr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br w:type="page"/>
      </w:r>
    </w:p>
    <w:tbl>
      <w:tblPr>
        <w:tblW w:w="13287" w:type="dxa"/>
        <w:jc w:val="center"/>
        <w:tblLook w:val="04A0"/>
      </w:tblPr>
      <w:tblGrid>
        <w:gridCol w:w="780"/>
        <w:gridCol w:w="765"/>
        <w:gridCol w:w="900"/>
        <w:gridCol w:w="915"/>
        <w:gridCol w:w="915"/>
        <w:gridCol w:w="1875"/>
        <w:gridCol w:w="1335"/>
        <w:gridCol w:w="630"/>
        <w:gridCol w:w="675"/>
        <w:gridCol w:w="1050"/>
        <w:gridCol w:w="1050"/>
        <w:gridCol w:w="951"/>
        <w:gridCol w:w="682"/>
        <w:gridCol w:w="764"/>
      </w:tblGrid>
      <w:tr w:rsidR="00761F85">
        <w:trPr>
          <w:trHeight w:val="499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宋海洋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出生年月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1986.12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毕业学校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哈尔滨工业大学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所获学位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博士</w:t>
            </w:r>
          </w:p>
        </w:tc>
      </w:tr>
      <w:tr w:rsidR="00761F85">
        <w:trPr>
          <w:trHeight w:val="499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学科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一般力学与力学基础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研究方向</w:t>
            </w:r>
          </w:p>
        </w:tc>
        <w:tc>
          <w:tcPr>
            <w:tcW w:w="5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结构全频段振动和噪声环境预测、结构减振与降噪分析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联系电话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18380220536</w:t>
            </w:r>
          </w:p>
        </w:tc>
      </w:tr>
      <w:tr w:rsidR="00761F85">
        <w:trPr>
          <w:trHeight w:val="499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发表文章、论著、专利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文章、论著、专利名称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级别或类别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作者排序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发表刊物或授予单位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绩点类别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绩点</w:t>
            </w:r>
            <w:proofErr w:type="gram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认证</w:t>
            </w:r>
          </w:p>
        </w:tc>
      </w:tr>
      <w:tr w:rsidR="00761F85">
        <w:trPr>
          <w:trHeight w:val="765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761F85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Sensitivity analysis of statistical energy analysis models based on interval perturbation approach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SCI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ACTA MECHANICA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60</w:t>
            </w:r>
          </w:p>
        </w:tc>
      </w:tr>
      <w:tr w:rsidR="00761F85">
        <w:trPr>
          <w:trHeight w:val="111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761F85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Error estimation of load identification based on linear sensitivity analysis and interval technique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SCI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STRUCTURAL AND MULTIDISCIPLINARY OPTIMIZATION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90</w:t>
            </w:r>
          </w:p>
        </w:tc>
      </w:tr>
      <w:tr w:rsidR="00761F85">
        <w:trPr>
          <w:trHeight w:val="1125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761F85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Affine arithmetic applied to transient statistical energy analysis of a two-oscillator system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SCI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MECHANICS RESEARCH COMMUNICATIONS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60</w:t>
            </w:r>
          </w:p>
        </w:tc>
      </w:tr>
      <w:tr w:rsidR="00761F85">
        <w:trPr>
          <w:trHeight w:val="615"/>
          <w:jc w:val="center"/>
        </w:trPr>
        <w:tc>
          <w:tcPr>
            <w:tcW w:w="13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合计：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 xml:space="preserve">210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绩点，其中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 xml:space="preserve">  0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绩点；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Style w:val="font01"/>
                <w:rFonts w:ascii="Times New Roman" w:hAnsi="Times New Roman" w:cs="Times New Roman" w:hint="default"/>
                <w:lang/>
              </w:rPr>
              <w:t xml:space="preserve">210   </w:t>
            </w:r>
            <w:r>
              <w:rPr>
                <w:rStyle w:val="font01"/>
                <w:rFonts w:ascii="Times New Roman" w:hAnsi="Times New Roman" w:cs="Times New Roman" w:hint="default"/>
                <w:lang/>
              </w:rPr>
              <w:t>绩点；</w:t>
            </w:r>
            <w:r>
              <w:rPr>
                <w:rStyle w:val="font01"/>
                <w:rFonts w:ascii="Times New Roman" w:hAnsi="Times New Roman" w:cs="Times New Roman" w:hint="default"/>
                <w:lang/>
              </w:rPr>
              <w:t>B</w:t>
            </w:r>
            <w:r>
              <w:rPr>
                <w:rStyle w:val="font01"/>
                <w:rFonts w:ascii="Times New Roman" w:hAnsi="Times New Roman" w:cs="Times New Roman" w:hint="default"/>
                <w:lang/>
              </w:rPr>
              <w:t>类</w:t>
            </w:r>
            <w:r>
              <w:rPr>
                <w:rStyle w:val="font01"/>
                <w:rFonts w:ascii="Times New Roman" w:hAnsi="Times New Roman" w:cs="Times New Roman" w:hint="default"/>
                <w:lang/>
              </w:rPr>
              <w:t xml:space="preserve"> 0 </w:t>
            </w:r>
            <w:proofErr w:type="gramStart"/>
            <w:r>
              <w:rPr>
                <w:rStyle w:val="font01"/>
                <w:rFonts w:ascii="Times New Roman" w:hAnsi="Times New Roman" w:cs="Times New Roman" w:hint="default"/>
                <w:lang/>
              </w:rPr>
              <w:t>绩点</w:t>
            </w:r>
            <w:proofErr w:type="gramEnd"/>
          </w:p>
        </w:tc>
      </w:tr>
    </w:tbl>
    <w:p w:rsidR="00761F85" w:rsidRDefault="002750A8">
      <w:pPr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br w:type="page"/>
      </w:r>
    </w:p>
    <w:tbl>
      <w:tblPr>
        <w:tblW w:w="13464" w:type="dxa"/>
        <w:jc w:val="center"/>
        <w:tblLook w:val="04A0"/>
      </w:tblPr>
      <w:tblGrid>
        <w:gridCol w:w="779"/>
        <w:gridCol w:w="765"/>
        <w:gridCol w:w="898"/>
        <w:gridCol w:w="913"/>
        <w:gridCol w:w="1256"/>
        <w:gridCol w:w="1529"/>
        <w:gridCol w:w="1333"/>
        <w:gridCol w:w="626"/>
        <w:gridCol w:w="673"/>
        <w:gridCol w:w="1045"/>
        <w:gridCol w:w="1046"/>
        <w:gridCol w:w="1047"/>
        <w:gridCol w:w="845"/>
        <w:gridCol w:w="709"/>
      </w:tblGrid>
      <w:tr w:rsidR="00761F85">
        <w:trPr>
          <w:trHeight w:val="499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王祖馨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出生年月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1992.04.18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毕业学校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新加坡国立大学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所获学位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博士</w:t>
            </w:r>
          </w:p>
        </w:tc>
      </w:tr>
      <w:tr w:rsidR="00761F85">
        <w:trPr>
          <w:trHeight w:val="499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学科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市政工程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研究方向</w:t>
            </w:r>
          </w:p>
        </w:tc>
        <w:tc>
          <w:tcPr>
            <w:tcW w:w="5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电化学水处理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15568448418</w:t>
            </w:r>
          </w:p>
        </w:tc>
      </w:tr>
      <w:tr w:rsidR="00761F85">
        <w:trPr>
          <w:trHeight w:val="499"/>
          <w:jc w:val="center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发表文章、论著、专利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文章、论著、专利名称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级别或类别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作者排序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发表刊物或授予单位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绩点类别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绩点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认证</w:t>
            </w:r>
          </w:p>
        </w:tc>
      </w:tr>
      <w:tr w:rsidR="00761F85">
        <w:trPr>
          <w:trHeight w:val="987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761F85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Advanced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electrocatalytic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pre-treatment to improve the biodegradability of real wastewater from the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electronics industry — A detailed investigation study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SCI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双一区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Journal of Hazardous Materials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761F85">
        <w:trPr>
          <w:trHeight w:val="867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761F85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Electro-Fenton beyond the Degradation of Organics: Treatment of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Thiosalts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in Contaminated Mine Water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SCI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双一区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Environmental Science &amp; Technology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761F85">
        <w:trPr>
          <w:trHeight w:val="615"/>
          <w:jc w:val="center"/>
        </w:trPr>
        <w:tc>
          <w:tcPr>
            <w:tcW w:w="134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F85" w:rsidRDefault="002750A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合计：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 xml:space="preserve"> 280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绩点，其中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 xml:space="preserve">   280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绩点；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 xml:space="preserve">  0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绩点；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 xml:space="preserve">  0  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绩点</w:t>
            </w:r>
            <w:proofErr w:type="gramEnd"/>
          </w:p>
        </w:tc>
      </w:tr>
    </w:tbl>
    <w:p w:rsidR="00761F85" w:rsidRDefault="00761F85">
      <w:pPr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</w:p>
    <w:sectPr w:rsidR="00761F85" w:rsidSect="00761F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A4E0992"/>
    <w:rsid w:val="002750A8"/>
    <w:rsid w:val="00761F85"/>
    <w:rsid w:val="2E2D3E72"/>
    <w:rsid w:val="369074B3"/>
    <w:rsid w:val="4A4E0992"/>
    <w:rsid w:val="51D763D8"/>
    <w:rsid w:val="7257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761F8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761F85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李杰</cp:lastModifiedBy>
  <cp:revision>2</cp:revision>
  <dcterms:created xsi:type="dcterms:W3CDTF">2021-06-10T05:44:00Z</dcterms:created>
  <dcterms:modified xsi:type="dcterms:W3CDTF">2021-06-10T05:44:00Z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B417D3A7BBB74BF4A7BAB3C1D67AFEA2</vt:lpwstr>
  </property>
</Properties>
</file>